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default" w:ascii="Times New Roman" w:hAnsi="Times New Roman" w:eastAsia="黑体" w:cs="Times New Roman"/>
          <w:spacing w:val="0"/>
          <w:w w:val="100"/>
          <w:kern w:val="21"/>
          <w:sz w:val="30"/>
          <w:szCs w:val="30"/>
          <w:lang w:val="en-US" w:eastAsia="zh-CN"/>
        </w:rPr>
      </w:pPr>
      <w:r>
        <w:rPr>
          <w:rFonts w:hint="default" w:ascii="Times New Roman" w:hAnsi="Times New Roman" w:eastAsia="黑体" w:cs="Times New Roman"/>
          <w:b w:val="0"/>
          <w:bCs w:val="0"/>
          <w:color w:val="000000"/>
          <w:spacing w:val="0"/>
          <w:w w:val="100"/>
          <w:kern w:val="21"/>
          <w:sz w:val="30"/>
          <w:szCs w:val="30"/>
          <w:u w:val="none"/>
          <w:lang w:val="en-US" w:eastAsia="zh-CN"/>
        </w:rPr>
        <w:t>附件1：</w:t>
      </w:r>
    </w:p>
    <w:p>
      <w:pPr>
        <w:keepNext w:val="0"/>
        <w:keepLines w:val="0"/>
        <w:pageBreakBefore w:val="0"/>
        <w:widowControl w:val="0"/>
        <w:kinsoku/>
        <w:wordWrap/>
        <w:overflowPunct/>
        <w:topLinePunct w:val="0"/>
        <w:autoSpaceDE/>
        <w:autoSpaceDN/>
        <w:bidi w:val="0"/>
        <w:adjustRightInd/>
        <w:snapToGrid/>
        <w:spacing w:before="313" w:beforeLines="100" w:line="700" w:lineRule="exact"/>
        <w:jc w:val="center"/>
        <w:textAlignment w:val="auto"/>
        <w:outlineLvl w:val="9"/>
        <w:rPr>
          <w:rFonts w:hint="default" w:ascii="Times New Roman" w:hAnsi="Times New Roman" w:eastAsia="方正小标宋_GBK" w:cs="Times New Roman"/>
          <w:spacing w:val="0"/>
          <w:w w:val="100"/>
          <w:kern w:val="21"/>
          <w:sz w:val="44"/>
          <w:szCs w:val="44"/>
          <w:lang w:val="en-US" w:eastAsia="zh-CN"/>
        </w:rPr>
      </w:pPr>
      <w:r>
        <w:rPr>
          <w:rFonts w:hint="default" w:ascii="Times New Roman" w:hAnsi="Times New Roman" w:eastAsia="方正小标宋_GBK" w:cs="Times New Roman"/>
          <w:spacing w:val="0"/>
          <w:w w:val="100"/>
          <w:kern w:val="21"/>
          <w:sz w:val="44"/>
          <w:szCs w:val="44"/>
          <w:lang w:val="en-US" w:eastAsia="zh-CN"/>
        </w:rPr>
        <w:t>中国民贸一乡一品产业促进中心“6+3”体系</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仿宋" w:cs="Times New Roman"/>
          <w:color w:val="000000"/>
          <w:spacing w:val="0"/>
          <w:w w:val="100"/>
          <w:kern w:val="21"/>
          <w:sz w:val="32"/>
          <w:szCs w:val="32"/>
          <w:lang w:val="en-US" w:eastAsia="zh-CN"/>
        </w:rPr>
      </w:pPr>
      <w:r>
        <w:rPr>
          <w:rFonts w:hint="default" w:ascii="Times New Roman" w:hAnsi="Times New Roman" w:eastAsia="方正小标宋_GBK" w:cs="Times New Roman"/>
          <w:spacing w:val="0"/>
          <w:w w:val="100"/>
          <w:kern w:val="21"/>
          <w:sz w:val="44"/>
          <w:szCs w:val="44"/>
          <w:lang w:val="en-US" w:eastAsia="zh-CN"/>
        </w:rPr>
        <w:t>具体项目服务商征集特定细则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outlineLvl w:val="9"/>
        <w:rPr>
          <w:rFonts w:hint="default" w:ascii="Times New Roman" w:hAnsi="Times New Roman" w:eastAsia="仿宋_GB2312" w:cs="Times New Roman"/>
          <w:color w:val="000000"/>
          <w:spacing w:val="0"/>
          <w:w w:val="100"/>
          <w:kern w:val="21"/>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在征集过程中，中心各部门可结合中心“6+3”采购服务项目的特殊要求，按项目类别规定设定具体项目特定资格条件。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服务商在提交基础资料后按照项目类别具体细则，提交相应资料。</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“6+3”服务体系具体采购项目服务商征集特定细则如下：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default" w:ascii="Times New Roman" w:hAnsi="Times New Roman" w:eastAsia="楷体_GB2312" w:cs="Times New Roman"/>
          <w:b w:val="0"/>
          <w:bCs w:val="0"/>
          <w:color w:val="000000"/>
          <w:spacing w:val="0"/>
          <w:w w:val="100"/>
          <w:kern w:val="21"/>
          <w:sz w:val="32"/>
          <w:szCs w:val="32"/>
          <w:lang w:val="en-US" w:eastAsia="zh-CN"/>
        </w:rPr>
      </w:pPr>
      <w:r>
        <w:rPr>
          <w:rFonts w:hint="default" w:ascii="Times New Roman" w:hAnsi="Times New Roman" w:eastAsia="楷体_GB2312" w:cs="Times New Roman"/>
          <w:b w:val="0"/>
          <w:bCs w:val="0"/>
          <w:color w:val="000000"/>
          <w:spacing w:val="0"/>
          <w:w w:val="100"/>
          <w:kern w:val="21"/>
          <w:sz w:val="32"/>
          <w:szCs w:val="32"/>
          <w:lang w:val="en-US" w:eastAsia="zh-CN"/>
        </w:rPr>
        <w:t>（一）中心标准评审服务服务商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rPr>
      </w:pPr>
      <w:r>
        <w:rPr>
          <w:rFonts w:hint="default" w:ascii="Times New Roman" w:hAnsi="Times New Roman" w:eastAsia="仿宋_GB2312" w:cs="Times New Roman"/>
          <w:b/>
          <w:bCs/>
          <w:spacing w:val="0"/>
          <w:w w:val="100"/>
          <w:kern w:val="21"/>
          <w:sz w:val="32"/>
          <w:szCs w:val="32"/>
          <w:lang w:val="en-US" w:eastAsia="zh-CN"/>
        </w:rPr>
        <w:t>1．</w:t>
      </w:r>
      <w:r>
        <w:rPr>
          <w:rFonts w:hint="default" w:ascii="Times New Roman" w:hAnsi="Times New Roman" w:eastAsia="仿宋_GB2312" w:cs="Times New Roman"/>
          <w:b/>
          <w:bCs/>
          <w:spacing w:val="0"/>
          <w:w w:val="100"/>
          <w:kern w:val="21"/>
          <w:sz w:val="32"/>
          <w:szCs w:val="32"/>
        </w:rPr>
        <w:t>标准化服务机构</w:t>
      </w:r>
      <w:r>
        <w:rPr>
          <w:rFonts w:hint="default" w:ascii="Times New Roman" w:hAnsi="Times New Roman" w:eastAsia="仿宋_GB2312" w:cs="Times New Roman"/>
          <w:b/>
          <w:bCs/>
          <w:spacing w:val="0"/>
          <w:w w:val="100"/>
          <w:kern w:val="21"/>
          <w:sz w:val="32"/>
          <w:szCs w:val="32"/>
          <w:lang w:val="en-US" w:eastAsia="zh-CN"/>
        </w:rPr>
        <w:t>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 必须是地市级以上市场监督管理部门登记注册和对应经营范围、具有法人资格、具有独立承担民事责任能力和技术服务的法人实体。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2．产品评价服务机构类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（1）有满足作为评价机构运作管理要求的文件化的管理制度并实施。</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（2）有满足中国一乡一品评价项目对应评价标准和评价实施规则的项目实施文件和记录，并确保有开展对应项目评价（认证）活动的能力。</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（3）注册资本不得少于人民币100万元。</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（4）有5名以上中国一乡一品产品评价（认证）的专职技术人员。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default" w:ascii="Times New Roman" w:hAnsi="Times New Roman" w:eastAsia="楷体_GB2312" w:cs="Times New Roman"/>
          <w:b w:val="0"/>
          <w:bCs w:val="0"/>
          <w:color w:val="000000"/>
          <w:spacing w:val="0"/>
          <w:w w:val="100"/>
          <w:kern w:val="21"/>
          <w:sz w:val="32"/>
          <w:szCs w:val="32"/>
          <w:lang w:val="en-US" w:eastAsia="zh-CN"/>
        </w:rPr>
      </w:pPr>
      <w:r>
        <w:rPr>
          <w:rFonts w:hint="default" w:ascii="Times New Roman" w:hAnsi="Times New Roman" w:eastAsia="楷体_GB2312" w:cs="Times New Roman"/>
          <w:b w:val="0"/>
          <w:bCs w:val="0"/>
          <w:color w:val="000000"/>
          <w:spacing w:val="0"/>
          <w:w w:val="100"/>
          <w:kern w:val="21"/>
          <w:sz w:val="32"/>
          <w:szCs w:val="32"/>
          <w:lang w:val="en-US" w:eastAsia="zh-CN"/>
        </w:rPr>
        <w:t>（二）中心培训服务商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1．普通高等学校类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（1）国家第一批本科大学/大专以上院校，或专业学术、教学领域有比肩一本/一专院校的优秀成果、优秀师资、优秀学术教育资源的院校。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（2）具备一乡一品产业促进计划有关的专业学者、师资，并在自身研究、教学领域有一定建树和成果，且其成果能够转化为一乡一品需要的教育培训资源。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2．职业技术学校类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（1）具备良好办学条件和规模，在相关专业领域师资和实习资源丰富，具备较强自主招生能力。</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（2）办学成果丰富，有良好业界影响力和诚信记录。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3．咨询、顾问、研究机构类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（1）有相关领域独到建树或成果，有理论结合实践的优秀案例。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（2）在行业内有一定影响力，并具备良好的口碑和诚信记录。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4．社会教育培训机构类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（1）成立3年以上，有成熟的运营体系，成熟的业务网络。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（2）具备教育培训相关资质、软硬件设施、足够师资条件。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default" w:ascii="Times New Roman" w:hAnsi="Times New Roman" w:eastAsia="楷体_GB2312" w:cs="Times New Roman"/>
          <w:b w:val="0"/>
          <w:bCs w:val="0"/>
          <w:color w:val="000000"/>
          <w:spacing w:val="0"/>
          <w:w w:val="100"/>
          <w:kern w:val="21"/>
          <w:sz w:val="32"/>
          <w:szCs w:val="32"/>
          <w:lang w:val="en-US" w:eastAsia="zh-CN"/>
        </w:rPr>
      </w:pPr>
      <w:r>
        <w:rPr>
          <w:rFonts w:hint="default" w:ascii="Times New Roman" w:hAnsi="Times New Roman" w:eastAsia="楷体_GB2312" w:cs="Times New Roman"/>
          <w:b w:val="0"/>
          <w:bCs w:val="0"/>
          <w:color w:val="000000"/>
          <w:spacing w:val="0"/>
          <w:w w:val="100"/>
          <w:kern w:val="21"/>
          <w:sz w:val="32"/>
          <w:szCs w:val="32"/>
          <w:lang w:val="en-US" w:eastAsia="zh-CN"/>
        </w:rPr>
        <w:t>（三）信息技术服务商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1．电子商务类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主要负责店铺运营，电商渠道开拓、售前售后处理。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（1）应具备一定经营规模，且可开具增值税专用发票。经营期限3年以上，注册资本不低于200万，员工不少于50人，具有固定的办公场所。</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（2）应提供自有房屋的产权证明或租赁第三方场所的租赁合同扫描件及照片等。</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（3）应具备一定的业务能力，需提供公司简介、人员构成、运营产品、成功案例。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（4）应结合中国一乡一品产业促进计划，对我公司京东—壹乡壹品旗舰店预先分析，对我公司店铺给予诊断分析。</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（5）应提交承包我公司店铺的运营策划方案，并按季度叙述、内容包括产品和店铺运营规划思路、目标、投入费用、店铺利润、代运营费用、人员构成。</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（6）有从事水果、生鲜、食品经营优先，单店铺年销售额达到1000万优先。</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（7）系统内所使用的所有第三方插件、脚本、代码需属于正规合法授权版本或者免费无责版本。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2．软件开发类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（1）营业执照经营范围应包括“IT软件系统开发、系统集成”等相关表述。</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（2）应具备一定经营规模，经营期限3年以上，注册资本不低于200万，员工不少于50人。</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（3）应具备一定的业务能力拥有成功的系统项目开发案例。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（4）系统内所使用的所有第三方插件、脚本、代码需属于正规合法授权版本或者免费无责版本。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default" w:ascii="Times New Roman" w:hAnsi="Times New Roman" w:eastAsia="楷体_GB2312" w:cs="Times New Roman"/>
          <w:b w:val="0"/>
          <w:bCs w:val="0"/>
          <w:color w:val="000000"/>
          <w:spacing w:val="0"/>
          <w:w w:val="100"/>
          <w:kern w:val="21"/>
          <w:sz w:val="32"/>
          <w:szCs w:val="32"/>
          <w:lang w:val="en-US" w:eastAsia="zh-CN"/>
        </w:rPr>
      </w:pPr>
      <w:r>
        <w:rPr>
          <w:rFonts w:hint="default" w:ascii="Times New Roman" w:hAnsi="Times New Roman" w:eastAsia="楷体_GB2312" w:cs="Times New Roman"/>
          <w:b w:val="0"/>
          <w:bCs w:val="0"/>
          <w:color w:val="000000"/>
          <w:spacing w:val="0"/>
          <w:w w:val="100"/>
          <w:kern w:val="21"/>
          <w:sz w:val="32"/>
          <w:szCs w:val="32"/>
          <w:lang w:val="en-US" w:eastAsia="zh-CN"/>
        </w:rPr>
        <w:t>（四）园区建设工程服务商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（1）最近三年内没有骗取中标和严重违约及重大工程质量问题。</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 xml:space="preserve">（2）应遵循建设部令81号《实施工程建设强制性标准监督规定》，并取得相应的资格证书。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（3）应具备项目对应的壹级以上专业技术资格。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default" w:ascii="Times New Roman" w:hAnsi="Times New Roman" w:eastAsia="楷体_GB2312" w:cs="Times New Roman"/>
          <w:b w:val="0"/>
          <w:bCs w:val="0"/>
          <w:color w:val="000000"/>
          <w:spacing w:val="0"/>
          <w:w w:val="100"/>
          <w:kern w:val="21"/>
          <w:sz w:val="32"/>
          <w:szCs w:val="32"/>
          <w:lang w:val="en-US" w:eastAsia="zh-CN"/>
        </w:rPr>
      </w:pPr>
      <w:r>
        <w:rPr>
          <w:rFonts w:hint="default" w:ascii="Times New Roman" w:hAnsi="Times New Roman" w:eastAsia="楷体_GB2312" w:cs="Times New Roman"/>
          <w:b w:val="0"/>
          <w:bCs w:val="0"/>
          <w:color w:val="000000"/>
          <w:spacing w:val="0"/>
          <w:w w:val="100"/>
          <w:kern w:val="21"/>
          <w:sz w:val="32"/>
          <w:szCs w:val="32"/>
          <w:lang w:val="en-US" w:eastAsia="zh-CN"/>
        </w:rPr>
        <w:t>（五）中心品牌服务商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1．品牌宣传物料制作类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（1）营业执照经营范围应包括“广告制作、广告安装、印刷”等相关表述。</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（2）应具备一定经营规模，有独立生产加工制作场所，成立时间大于三年，企业员工人数不少于15人。</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（3）应具备一定的物料制作能力，物料制作细致，拥有成功的物料制作案例。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2．品牌、营销、活动策划类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（1）营业执照经营范围应包括“品牌、营销、策划、设计、活动执行、广告发布、代理、礼仪、演艺”等相关表述。</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（2）应具备一定经营规模，应具有3年以上的品牌、策划、营销、活动执行经验，拥有优秀的运营团队。</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（3）应具备一定的品牌策划、设计、活动执行能力，需提供公司简介、人员构成、成功案例。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3．展会策划、搭建、招商招展类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（1）应具备一定经营规模，应具有5年以上展会策划、搭建、招商招展工作经验，团队人员不少于20人。</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（2）应提供3个以上大型展会搭建案例，能够提供2个以上招商金额不少于300万以上的展会案例。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（3）应具有丰富招商招展能力，有强大招商企业资源池。</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（4）应提供展会搭建相关资质文件。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4．互联网媒介营销 、新媒体宣传类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（1）应具备一定经营规模，应具有3年以上的网络营销、新媒体运营经验，拥有优秀的运营团队。</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（2）应具备一定的网络营销、新媒体运营能力，需提供公司简介、人员构成、成功案例。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（3）具有网络营销、新媒体发布相关资质，网红直播MCN管理机构必须具有2年以上运营经验，签约主播不得少于50人。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5．媒体传播与影视制作类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（1）应具备丰富的媒体资源，有3年以上的媒体传播与影视制作经验，应拥有优秀的运营团队。</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（2）应拥有丰富的影视拍摄团队和企业宣传策划团队，具有广告片、宣传片、品牌定制剧、电视节目、栏目剧、影视剧、纪录片、微电影拍摄服务能力，有成功的案例呈现。</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（3）具有丰富的电视广告投放资源、影视剧综艺节目资源及艺人资源，并与重要影视媒体有相关合作案例。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default" w:ascii="Times New Roman" w:hAnsi="Times New Roman" w:eastAsia="楷体_GB2312" w:cs="Times New Roman"/>
          <w:b w:val="0"/>
          <w:bCs w:val="0"/>
          <w:color w:val="000000"/>
          <w:spacing w:val="0"/>
          <w:w w:val="100"/>
          <w:kern w:val="21"/>
          <w:sz w:val="32"/>
          <w:szCs w:val="32"/>
          <w:lang w:val="en-US" w:eastAsia="zh-CN"/>
        </w:rPr>
      </w:pPr>
      <w:r>
        <w:rPr>
          <w:rFonts w:hint="default" w:ascii="Times New Roman" w:hAnsi="Times New Roman" w:eastAsia="楷体_GB2312" w:cs="Times New Roman"/>
          <w:b w:val="0"/>
          <w:bCs w:val="0"/>
          <w:color w:val="000000"/>
          <w:spacing w:val="0"/>
          <w:w w:val="100"/>
          <w:kern w:val="21"/>
          <w:sz w:val="32"/>
          <w:szCs w:val="32"/>
          <w:lang w:val="en-US" w:eastAsia="zh-CN"/>
        </w:rPr>
        <w:t>（六）中心后勤保障服务商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1．大宗物资类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（1）拥有实体店铺（文件中提供相关证明材料，如照片等）。</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（2）所提供货物、服务的技术规格和标准必须符合国家有关部门最新颁布的标准及规范，同时满足供方企业质量规范标准和宣传承诺。 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（3）应保证需方在使用货物、服务或其任何一部分时不受第三方提出侵犯其专利权、商标权、版权和工业设计权等知识产权的指控。</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（4）全部货物均应按相应标准保护措施进行包装，包装费用由供方承担。</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（5）供方应保证提供的货物是最近生产的、未使用过的，是用一流的工艺和最佳材料制造的原装合格正品，并保证货物经过正确安装、正常使用和保养条件下，在其使用寿命周期内应具有满意的性能。 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2．商务接待类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（1）应具备一定经营规模，商务接待场所经营3年以上，具有丰富的商务接待能力，能为宾客提供相应的优质服务。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必须取得消防部门颁布的《公共聚集场所投入使用、营业前消防安全检查合格证》或者《消防意见书》或2018年消防部门年度检查记录证明；卫生防疫部门核发的《卫生许可证》；公安部门核发的《特种行业经营许可证》；食品药品监督管理部门颁发的《从业人员健康证》等证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（3）能提供相应的的停车场。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pacing w:val="0"/>
          <w:w w:val="100"/>
          <w:kern w:val="21"/>
          <w:sz w:val="32"/>
          <w:szCs w:val="32"/>
          <w:lang w:val="en-US" w:eastAsia="zh-CN"/>
        </w:rPr>
      </w:pPr>
      <w:r>
        <w:rPr>
          <w:rFonts w:hint="default" w:ascii="Times New Roman" w:hAnsi="Times New Roman" w:eastAsia="仿宋_GB2312" w:cs="Times New Roman"/>
          <w:b/>
          <w:bCs/>
          <w:spacing w:val="0"/>
          <w:w w:val="100"/>
          <w:kern w:val="21"/>
          <w:sz w:val="32"/>
          <w:szCs w:val="32"/>
          <w:lang w:val="en-US" w:eastAsia="zh-CN"/>
        </w:rPr>
        <w:t>3．商务用车类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（1）应具备一定经营规模，经营期限3年以上，驾驶员具有丰富商务专车接待经验和综合素养。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（2）最近两年内没有严重安全事故问题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spacing w:val="0"/>
          <w:w w:val="100"/>
          <w:kern w:val="21"/>
          <w:sz w:val="32"/>
          <w:szCs w:val="32"/>
          <w:lang w:val="en-US" w:eastAsia="zh-CN" w:bidi="zh-CN"/>
        </w:rPr>
      </w:pPr>
      <w:r>
        <w:rPr>
          <w:rFonts w:hint="default" w:ascii="Times New Roman" w:hAnsi="Times New Roman" w:eastAsia="仿宋_GB2312" w:cs="Times New Roman"/>
          <w:spacing w:val="0"/>
          <w:w w:val="100"/>
          <w:kern w:val="21"/>
          <w:sz w:val="32"/>
          <w:szCs w:val="32"/>
          <w:lang w:val="en-US" w:eastAsia="zh-CN" w:bidi="zh-CN"/>
        </w:rPr>
        <w:t>（3）拥有不少于30辆可调度车辆。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82567"/>
    <w:rsid w:val="3C882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2020-12-01T08:11:00Z</dcterms:created>
  <dc:creator>Yan</dc:creator>
  <cp:lastModifiedBy>Yan</cp:lastModifiedBy>
  <dcterms:modified xsi:type="dcterms:W3CDTF">2020-12-01T08:11:57Z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